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20F" w:rsidRPr="0025120F" w:rsidRDefault="0025120F" w:rsidP="0025120F">
      <w:pPr>
        <w:spacing w:after="0" w:line="240" w:lineRule="auto"/>
        <w:jc w:val="both"/>
        <w:outlineLvl w:val="0"/>
        <w:rPr>
          <w:rFonts w:eastAsia="Calibri" w:cs="Times New Roman"/>
          <w:i/>
          <w:sz w:val="24"/>
          <w:szCs w:val="24"/>
          <w:u w:color="000000"/>
          <w:lang w:val="pt-BR"/>
        </w:rPr>
      </w:pPr>
      <w:bookmarkStart w:id="0" w:name="_Toc146465097"/>
      <w:bookmarkStart w:id="1" w:name="_Toc151380131"/>
      <w:r w:rsidRPr="0025120F">
        <w:rPr>
          <w:rFonts w:eastAsia="Calibri" w:cs="Times New Roman"/>
          <w:b/>
          <w:sz w:val="24"/>
          <w:szCs w:val="24"/>
          <w:u w:color="000000"/>
          <w:lang w:val="pt-BR"/>
        </w:rPr>
        <w:t>UỶ BAN HÀNH CHÍNH</w:t>
      </w:r>
      <w:r w:rsidRPr="0025120F">
        <w:rPr>
          <w:rFonts w:eastAsia="Calibri" w:cs="Times New Roman"/>
          <w:sz w:val="24"/>
          <w:szCs w:val="24"/>
          <w:u w:color="000000"/>
          <w:lang w:val="pt-BR"/>
        </w:rPr>
        <w:t xml:space="preserve">, </w:t>
      </w:r>
      <w:r w:rsidRPr="0025120F">
        <w:rPr>
          <w:rFonts w:eastAsia="Calibri" w:cs="Times New Roman"/>
          <w:szCs w:val="28"/>
          <w:u w:color="000000"/>
          <w:lang w:val="pt-BR"/>
        </w:rPr>
        <w:t xml:space="preserve">cơ quan hành chính nhà nước – cơ quan chấp hành của Hội đồng nhân dân </w:t>
      </w:r>
      <w:r w:rsidRPr="0025120F">
        <w:rPr>
          <w:rFonts w:eastAsia="Calibri" w:cs="Times New Roman"/>
          <w:szCs w:val="28"/>
          <w:u w:color="000000"/>
          <w:lang w:val="vi-VN"/>
        </w:rPr>
        <w:t xml:space="preserve">ở các cấp khu tự trị, </w:t>
      </w:r>
      <w:r w:rsidRPr="0025120F">
        <w:rPr>
          <w:rFonts w:eastAsia="Calibri" w:cs="Times New Roman"/>
          <w:szCs w:val="28"/>
          <w:u w:color="000000"/>
          <w:lang w:val="pt-BR"/>
        </w:rPr>
        <w:t xml:space="preserve">kỳ, </w:t>
      </w:r>
      <w:r w:rsidRPr="0025120F">
        <w:rPr>
          <w:rFonts w:eastAsia="Calibri" w:cs="Times New Roman"/>
          <w:szCs w:val="28"/>
          <w:u w:color="000000"/>
          <w:lang w:val="vi-VN"/>
        </w:rPr>
        <w:t xml:space="preserve">tỉnh, </w:t>
      </w:r>
      <w:r w:rsidRPr="0025120F">
        <w:rPr>
          <w:rFonts w:eastAsia="Calibri" w:cs="Times New Roman"/>
          <w:szCs w:val="28"/>
          <w:u w:color="000000"/>
          <w:lang w:val="pt-BR"/>
        </w:rPr>
        <w:t xml:space="preserve">thành phố, thị xã, </w:t>
      </w:r>
      <w:r w:rsidRPr="0025120F">
        <w:rPr>
          <w:rFonts w:eastAsia="Calibri" w:cs="Times New Roman"/>
          <w:szCs w:val="28"/>
          <w:u w:color="000000"/>
          <w:lang w:val="vi-VN"/>
        </w:rPr>
        <w:t>huyện, xã, khu</w:t>
      </w:r>
      <w:r w:rsidRPr="0025120F">
        <w:rPr>
          <w:rFonts w:eastAsia="Calibri" w:cs="Times New Roman"/>
          <w:szCs w:val="28"/>
          <w:u w:color="000000"/>
          <w:lang w:val="pt-BR"/>
        </w:rPr>
        <w:t xml:space="preserve"> phố</w:t>
      </w:r>
      <w:r w:rsidRPr="0025120F">
        <w:rPr>
          <w:rFonts w:eastAsia="Calibri" w:cs="Times New Roman"/>
          <w:szCs w:val="28"/>
          <w:u w:color="000000"/>
          <w:lang w:val="vi-VN"/>
        </w:rPr>
        <w:t xml:space="preserve"> được thành lập t</w:t>
      </w:r>
      <w:r w:rsidRPr="0025120F">
        <w:rPr>
          <w:rFonts w:eastAsia="Calibri" w:cs="Times New Roman"/>
          <w:szCs w:val="28"/>
          <w:u w:color="000000"/>
          <w:lang w:val="pt-BR"/>
        </w:rPr>
        <w:t xml:space="preserve">heo Sắc lệnh số 63/SL ngày 22.11.1945, Sắc lệnh số 77/SL ngày 21.12.1945 của Chủ tịch </w:t>
      </w:r>
      <w:r w:rsidRPr="0025120F">
        <w:rPr>
          <w:rFonts w:eastAsia="Calibri" w:cs="Times New Roman"/>
          <w:szCs w:val="28"/>
          <w:u w:color="000000"/>
          <w:lang w:val="vi-VN"/>
        </w:rPr>
        <w:t xml:space="preserve">nước </w:t>
      </w:r>
      <w:r w:rsidRPr="0025120F">
        <w:rPr>
          <w:rFonts w:eastAsia="Calibri" w:cs="Times New Roman"/>
          <w:szCs w:val="28"/>
          <w:u w:color="000000"/>
          <w:lang w:val="pt-BR"/>
        </w:rPr>
        <w:t>v</w:t>
      </w:r>
      <w:r w:rsidRPr="0025120F">
        <w:rPr>
          <w:rFonts w:eastAsia="Calibri" w:cs="Times New Roman"/>
          <w:szCs w:val="28"/>
          <w:u w:color="000000"/>
          <w:lang w:val="vi-VN"/>
        </w:rPr>
        <w:t xml:space="preserve">à Hiến pháp 1946, 1959 của nước </w:t>
      </w:r>
      <w:r w:rsidRPr="0025120F">
        <w:rPr>
          <w:rFonts w:eastAsia="Calibri" w:cs="Times New Roman"/>
          <w:szCs w:val="28"/>
          <w:u w:color="000000"/>
          <w:lang w:val="pt-BR"/>
        </w:rPr>
        <w:t>Việt Nam Dân chủ Cộng hòa</w:t>
      </w:r>
      <w:r w:rsidRPr="0025120F">
        <w:rPr>
          <w:rFonts w:eastAsia="Calibri" w:cs="Times New Roman"/>
          <w:szCs w:val="28"/>
          <w:u w:color="000000"/>
          <w:lang w:val="vi-VN"/>
        </w:rPr>
        <w:t>.</w:t>
      </w:r>
      <w:bookmarkEnd w:id="0"/>
      <w:bookmarkEnd w:id="1"/>
      <w:r w:rsidRPr="0025120F">
        <w:rPr>
          <w:rFonts w:eastAsia="Calibri" w:cs="Times New Roman"/>
          <w:szCs w:val="28"/>
          <w:u w:color="000000"/>
          <w:lang w:val="pt-BR"/>
        </w:rPr>
        <w:t xml:space="preserve"> </w:t>
      </w:r>
    </w:p>
    <w:p w:rsidR="0025120F" w:rsidRPr="0025120F" w:rsidRDefault="0025120F" w:rsidP="0025120F">
      <w:pPr>
        <w:spacing w:after="0" w:line="240" w:lineRule="auto"/>
        <w:jc w:val="both"/>
        <w:rPr>
          <w:rFonts w:eastAsia="Calibri" w:cs="Times New Roman"/>
          <w:szCs w:val="28"/>
          <w:u w:color="000000"/>
          <w:lang w:val="pt-BR"/>
        </w:rPr>
      </w:pPr>
      <w:r w:rsidRPr="0025120F">
        <w:rPr>
          <w:rFonts w:eastAsia="Calibri" w:cs="Times New Roman"/>
          <w:szCs w:val="28"/>
          <w:u w:color="000000"/>
          <w:lang w:val="pt-BR"/>
        </w:rPr>
        <w:t xml:space="preserve">       UBHC các cấp (xã, thị xã, huyện, quận, kỳ, tỉnh, thành phố) do Hội đồng nhân dân cùng cấp bầu ra theo lối phổ thông và trực tiếp đầu phiếu, gồm có các ủy viên chính thức và dự khuyết (từ 5 đến 7 người). Đối với các đơn vị hành chính được tổ chức Hội đồng nhân dân, ủy viên UBHC phải là đại biểu Hội đồng nhân dân, với các đơn vị hành chính không tổ chức Hội đồng nhân dân (huyện, kỳ), tất cả những người đủ điều kiện để đi bầu cử quốc dân đại hội và biết đọc, biết viết đều có quyền ứng cử vào các UBHC, không phân biệt là người ở địa phương hay không, nhưng chỉ được ứng cử ở một huyện (kỳ). </w:t>
      </w:r>
    </w:p>
    <w:p w:rsidR="0025120F" w:rsidRPr="0025120F" w:rsidRDefault="0025120F" w:rsidP="0025120F">
      <w:pPr>
        <w:spacing w:after="0" w:line="240" w:lineRule="auto"/>
        <w:jc w:val="both"/>
        <w:rPr>
          <w:rFonts w:eastAsia="Calibri" w:cs="Times New Roman"/>
          <w:szCs w:val="28"/>
          <w:u w:color="000000"/>
          <w:lang w:val="pt-BR"/>
        </w:rPr>
      </w:pPr>
      <w:r w:rsidRPr="0025120F">
        <w:rPr>
          <w:rFonts w:eastAsia="Calibri" w:cs="Times New Roman"/>
          <w:szCs w:val="28"/>
          <w:u w:color="000000"/>
          <w:lang w:val="pt-BR"/>
        </w:rPr>
        <w:t xml:space="preserve">         UBHC có trách nhiệm thi hành các mệnh lệnh của cấp trên và các nghị quyết của Hội đồng nhân dân cùng cấp; chỉ huy công việc hành chính trong địa phương. UBHC chịu trách nhiệm đối với cấp trên và đối với Hội đồng nhân dân cùng cấp. Nhiệm kỳ của UBHC xã, thị xã, huyện, tỉnh, thành phố là 2 năm, của UBHC kỳ là 3 năm.</w:t>
      </w:r>
    </w:p>
    <w:p w:rsidR="0025120F" w:rsidRPr="0025120F" w:rsidRDefault="0025120F" w:rsidP="0025120F">
      <w:pPr>
        <w:spacing w:after="0" w:line="240" w:lineRule="auto"/>
        <w:jc w:val="both"/>
        <w:rPr>
          <w:rFonts w:eastAsia="Calibri" w:cs="Times New Roman"/>
          <w:szCs w:val="28"/>
          <w:u w:color="000000"/>
          <w:lang w:val="pt-BR"/>
        </w:rPr>
      </w:pPr>
      <w:r w:rsidRPr="0025120F">
        <w:rPr>
          <w:rFonts w:eastAsia="Calibri" w:cs="Times New Roman"/>
          <w:szCs w:val="28"/>
          <w:u w:color="000000"/>
          <w:lang w:val="pt-BR"/>
        </w:rPr>
        <w:t xml:space="preserve">       Hiến pháp năm 1946 quy định về UBHC tại Chương V - Hội đồng nhân dân và UBHC. Tại thời điểm đó, Việt Nam về phương diện hành chính gồm có 3 bộ: Bắc bộ, Trung bộ, Nam bộ. Mỗi bộ chia thành tỉnh, tỉnh chia thành huyện, huyện chia thành xã. UBHC tỉnh, thành phố, thị xã, xã do Hội đồng nhân dân cùng cấp bầu ra. Ở bộ và huyện, chỉ có UBHC. UBHC bộ do Hội đồng nhân dân các tỉnh và thành phố bầu ra. UBHC huyện do Hội đồng nhân dân các xã bầu ra.</w:t>
      </w:r>
    </w:p>
    <w:p w:rsidR="0025120F" w:rsidRPr="0025120F" w:rsidRDefault="0025120F" w:rsidP="0025120F">
      <w:pPr>
        <w:spacing w:after="0" w:line="240" w:lineRule="auto"/>
        <w:jc w:val="both"/>
        <w:rPr>
          <w:rFonts w:eastAsia="Calibri" w:cs="Times New Roman"/>
          <w:szCs w:val="28"/>
          <w:u w:color="000000"/>
          <w:lang w:val="pt-BR"/>
        </w:rPr>
      </w:pPr>
      <w:r w:rsidRPr="0025120F">
        <w:rPr>
          <w:rFonts w:eastAsia="Calibri" w:cs="Times New Roman"/>
          <w:szCs w:val="28"/>
          <w:u w:color="000000"/>
          <w:lang w:val="pt-BR"/>
        </w:rPr>
        <w:t xml:space="preserve">        Hiến pháp năm 1959 sử dụng khái niệm UBHC để chỉ cơ quan chấp hành của Hội đồng nhân dân địa phương các cấp và là cơ quan hành chính của Nhà nước ở địa phương. Thời điểm này, nước chia thành tỉnh, khu tự trị, thành phố trực thuộc trung ương; tỉnh chia thành huyện, thành phố, thị xã; huyện chia thành xã, thị trấn. Các đơn vị hành chính kể trên đều thành lập Hội đồng nhân dân và UBHC. Các thành phố có thể chia thành khu phố có Hội đồng nhân dân và UBHC theo quyết định của Hội đồng Chính phủ.</w:t>
      </w:r>
    </w:p>
    <w:p w:rsidR="0025120F" w:rsidRPr="0025120F" w:rsidRDefault="0025120F" w:rsidP="0025120F">
      <w:pPr>
        <w:spacing w:after="0" w:line="240" w:lineRule="auto"/>
        <w:jc w:val="both"/>
        <w:rPr>
          <w:rFonts w:eastAsia="Calibri" w:cs="Times New Roman"/>
          <w:szCs w:val="28"/>
          <w:u w:color="000000"/>
          <w:lang w:val="pt-BR"/>
        </w:rPr>
      </w:pPr>
      <w:r w:rsidRPr="0025120F">
        <w:rPr>
          <w:rFonts w:eastAsia="Calibri" w:cs="Times New Roman"/>
          <w:szCs w:val="28"/>
          <w:u w:color="000000"/>
          <w:lang w:val="pt-BR"/>
        </w:rPr>
        <w:t xml:space="preserve">        UBHC theo Hiến pháp năm 1959 gồm có Chủ tịch, một hoặc nhiều Phó Chủ tịch, uỷ viên thư ký và các uỷ viên.</w:t>
      </w:r>
    </w:p>
    <w:p w:rsidR="0025120F" w:rsidRPr="0025120F" w:rsidRDefault="0025120F" w:rsidP="0025120F">
      <w:pPr>
        <w:spacing w:after="0" w:line="240" w:lineRule="auto"/>
        <w:jc w:val="both"/>
        <w:rPr>
          <w:rFonts w:eastAsia="Calibri" w:cs="Times New Roman"/>
          <w:szCs w:val="28"/>
          <w:u w:color="000000"/>
          <w:lang w:val="pt-BR"/>
        </w:rPr>
      </w:pPr>
      <w:r w:rsidRPr="0025120F">
        <w:rPr>
          <w:rFonts w:eastAsia="Calibri" w:cs="Times New Roman"/>
          <w:szCs w:val="28"/>
          <w:u w:color="000000"/>
          <w:lang w:val="pt-BR"/>
        </w:rPr>
        <w:t xml:space="preserve">        UBHC có nhiệm vụ quản lý công tác hành chính của địa phương; chấp hành nghị quyết của Hội đồng nhân dân cùng cấp và nghị quyết, mệnh lệnh của cơ quan hành chính Nhà nước cấp trên. UBHC căn cứ quyền hạn do luật định, ra quyết định, chỉ thị và kiểm tra việc thi hành những quyết định, chỉ thị đó.</w:t>
      </w:r>
    </w:p>
    <w:p w:rsidR="0025120F" w:rsidRPr="0025120F" w:rsidRDefault="0025120F" w:rsidP="0025120F">
      <w:pPr>
        <w:spacing w:after="0" w:line="240" w:lineRule="auto"/>
        <w:jc w:val="both"/>
        <w:rPr>
          <w:rFonts w:eastAsia="Calibri" w:cs="Times New Roman"/>
          <w:szCs w:val="28"/>
          <w:u w:color="000000"/>
          <w:lang w:val="pt-BR"/>
        </w:rPr>
      </w:pPr>
      <w:r w:rsidRPr="0025120F">
        <w:rPr>
          <w:rFonts w:eastAsia="Calibri" w:cs="Times New Roman"/>
          <w:szCs w:val="28"/>
          <w:u w:color="000000"/>
          <w:lang w:val="pt-BR"/>
        </w:rPr>
        <w:t xml:space="preserve">         UBHC lãnh đạo công tác của các ngành thuộc quyền mình và của các UBHC cấp dưới; có quyền sửa đổi hoặc bãi bỏ những quyết định không thích đáng của các ngành thuộc quyền mình và của UBHC cấp dưới; có quyền đình chỉ việc thi hành những nghị quyết không thích đáng của Hội đồng nhân dân cấp dưới trực tiếp và đề nghị Hội đồng nhân dân cùng cấp sửa đổi hoặc bãi bỏ những nghị quyết đó.</w:t>
      </w:r>
    </w:p>
    <w:p w:rsidR="0025120F" w:rsidRPr="0025120F" w:rsidRDefault="0025120F" w:rsidP="0025120F">
      <w:pPr>
        <w:spacing w:after="0" w:line="240" w:lineRule="auto"/>
        <w:jc w:val="both"/>
        <w:rPr>
          <w:rFonts w:eastAsia="Calibri" w:cs="Times New Roman"/>
          <w:szCs w:val="28"/>
          <w:u w:color="000000"/>
          <w:lang w:val="pt-BR"/>
        </w:rPr>
      </w:pPr>
      <w:r w:rsidRPr="0025120F">
        <w:rPr>
          <w:rFonts w:eastAsia="Calibri" w:cs="Times New Roman"/>
          <w:szCs w:val="28"/>
          <w:u w:color="000000"/>
          <w:lang w:val="pt-BR"/>
        </w:rPr>
        <w:lastRenderedPageBreak/>
        <w:t xml:space="preserve">         Nhiệm kỳ của UBHC theo nhiệm kỳ của Hội đồng nhân dân cùng cấp. Khi Hội đồng nhân dân hết nhiệm kỳ hoặc bị giải tán, UBHC tiếp tục làm nhiệm vụ cho đến khi Hội đồng nhân dân mới bầu ra.</w:t>
      </w:r>
    </w:p>
    <w:p w:rsidR="0025120F" w:rsidRPr="0025120F" w:rsidRDefault="0025120F" w:rsidP="0025120F">
      <w:pPr>
        <w:spacing w:after="0" w:line="240" w:lineRule="auto"/>
        <w:jc w:val="both"/>
        <w:rPr>
          <w:rFonts w:eastAsia="Calibri" w:cs="Times New Roman"/>
          <w:sz w:val="26"/>
          <w:szCs w:val="26"/>
          <w:u w:color="000000"/>
          <w:lang w:val="pt-BR"/>
        </w:rPr>
      </w:pPr>
      <w:r w:rsidRPr="0025120F">
        <w:rPr>
          <w:rFonts w:eastAsia="Calibri" w:cs="Times New Roman"/>
          <w:szCs w:val="28"/>
          <w:u w:color="000000"/>
          <w:lang w:val="pt-BR"/>
        </w:rPr>
        <w:t xml:space="preserve">        Từ Hiến pháp năm 1980, UBHC được đổi thành Ủy ban nhân dân nhưng về bản chất, chức năng, nhiệm vụ và cơ cấu tổ chức không có sự thay đổi nhiều so với Hiến pháp năm 1959.</w:t>
      </w:r>
      <w:r w:rsidRPr="0025120F">
        <w:rPr>
          <w:rFonts w:eastAsia="Calibri" w:cs="Times New Roman"/>
          <w:b/>
          <w:sz w:val="26"/>
          <w:szCs w:val="26"/>
          <w:u w:color="000000"/>
          <w:lang w:val="pt-BR"/>
        </w:rPr>
        <w:t xml:space="preserve">     </w:t>
      </w:r>
    </w:p>
    <w:p w:rsidR="0025120F" w:rsidRPr="0025120F" w:rsidRDefault="0025120F" w:rsidP="0025120F">
      <w:pPr>
        <w:spacing w:after="0" w:line="240" w:lineRule="auto"/>
        <w:jc w:val="right"/>
        <w:rPr>
          <w:rFonts w:eastAsia="Calibri" w:cs="Times New Roman"/>
          <w:sz w:val="22"/>
          <w:u w:color="000000"/>
          <w:lang w:val="pt-BR"/>
        </w:rPr>
      </w:pPr>
      <w:r w:rsidRPr="0025120F">
        <w:rPr>
          <w:rFonts w:eastAsia="Calibri" w:cs="Times New Roman"/>
          <w:b/>
          <w:sz w:val="22"/>
          <w:u w:color="000000"/>
          <w:lang w:val="pt-BR"/>
        </w:rPr>
        <w:t>NGUYỄN NGỌC VÂN - HÀ QUANG TRƯỜNG</w:t>
      </w:r>
    </w:p>
    <w:p w:rsidR="0025120F" w:rsidRPr="0025120F" w:rsidRDefault="0025120F" w:rsidP="0025120F">
      <w:pPr>
        <w:spacing w:after="0" w:line="240" w:lineRule="auto"/>
        <w:jc w:val="both"/>
        <w:rPr>
          <w:rFonts w:eastAsia="Calibri" w:cs="Times New Roman"/>
          <w:b/>
          <w:sz w:val="24"/>
          <w:szCs w:val="24"/>
          <w:u w:color="000000"/>
          <w:lang w:val="pt-BR"/>
        </w:rPr>
      </w:pPr>
      <w:r w:rsidRPr="0025120F">
        <w:rPr>
          <w:rFonts w:eastAsia="Calibri" w:cs="Times New Roman"/>
          <w:b/>
          <w:sz w:val="24"/>
          <w:szCs w:val="24"/>
          <w:u w:color="000000"/>
          <w:lang w:val="pt-BR"/>
        </w:rPr>
        <w:t>Tài liệu tham khảo:</w:t>
      </w:r>
    </w:p>
    <w:p w:rsidR="0025120F" w:rsidRPr="0025120F" w:rsidRDefault="0025120F" w:rsidP="0025120F">
      <w:pPr>
        <w:spacing w:after="0" w:line="240" w:lineRule="auto"/>
        <w:jc w:val="both"/>
        <w:rPr>
          <w:rFonts w:eastAsia="MS Mincho" w:cs="Times New Roman"/>
          <w:sz w:val="24"/>
          <w:szCs w:val="24"/>
          <w:u w:color="000000"/>
          <w:lang w:val="vi-VN"/>
        </w:rPr>
      </w:pPr>
      <w:r w:rsidRPr="0025120F">
        <w:rPr>
          <w:rFonts w:eastAsia="MS Mincho" w:cs="Times New Roman"/>
          <w:sz w:val="24"/>
          <w:szCs w:val="24"/>
          <w:u w:color="000000"/>
          <w:lang w:val="vi-VN"/>
        </w:rPr>
        <w:t>1.</w:t>
      </w:r>
      <w:r w:rsidRPr="0025120F">
        <w:rPr>
          <w:rFonts w:eastAsia="MS Mincho" w:cs="Times New Roman"/>
          <w:i/>
          <w:sz w:val="24"/>
          <w:szCs w:val="24"/>
          <w:u w:color="000000"/>
          <w:lang w:val="vi-VN"/>
        </w:rPr>
        <w:t xml:space="preserve"> Hiến pháp nước Cộng hòa xã hội chủ nghĩa Việt Nam</w:t>
      </w:r>
      <w:r w:rsidRPr="0025120F">
        <w:rPr>
          <w:rFonts w:eastAsia="MS Mincho" w:cs="Times New Roman"/>
          <w:sz w:val="24"/>
          <w:szCs w:val="24"/>
          <w:u w:color="000000"/>
          <w:lang w:val="vi-VN"/>
        </w:rPr>
        <w:t>, Nxb. Lao động, Hà Nội, 2013.</w:t>
      </w:r>
    </w:p>
    <w:p w:rsidR="0025120F" w:rsidRPr="0025120F" w:rsidRDefault="0025120F" w:rsidP="0025120F">
      <w:pPr>
        <w:spacing w:after="0" w:line="240" w:lineRule="auto"/>
        <w:jc w:val="both"/>
        <w:rPr>
          <w:rFonts w:eastAsia="MS Mincho" w:cs="Times New Roman"/>
          <w:b/>
          <w:sz w:val="24"/>
          <w:szCs w:val="24"/>
          <w:u w:color="000000"/>
          <w:lang w:val="vi-VN"/>
        </w:rPr>
      </w:pPr>
      <w:r w:rsidRPr="0025120F">
        <w:rPr>
          <w:rFonts w:eastAsia="MS Mincho" w:cs="Times New Roman"/>
          <w:sz w:val="24"/>
          <w:szCs w:val="24"/>
          <w:u w:color="000000"/>
          <w:lang w:val="vi-VN"/>
        </w:rPr>
        <w:t>2. Sắc lệnh số 63/SL ngày 22.11.1945 của Chủ tịch Chính phủ lâm thời Việt Nam Dân chủ Cộng hòa về tổ chức chính quyền nhân dân xã, huyện, tỉnh, kỳ.</w:t>
      </w:r>
    </w:p>
    <w:p w:rsidR="0025120F" w:rsidRPr="0025120F" w:rsidRDefault="0025120F" w:rsidP="0025120F">
      <w:pPr>
        <w:spacing w:after="0" w:line="240" w:lineRule="auto"/>
        <w:jc w:val="both"/>
        <w:rPr>
          <w:rFonts w:eastAsia="MS Mincho" w:cs="Times New Roman"/>
          <w:b/>
          <w:sz w:val="24"/>
          <w:szCs w:val="24"/>
          <w:u w:color="000000"/>
          <w:lang w:val="vi-VN"/>
        </w:rPr>
      </w:pPr>
      <w:r w:rsidRPr="0025120F">
        <w:rPr>
          <w:rFonts w:eastAsia="MS Mincho" w:cs="Times New Roman"/>
          <w:sz w:val="24"/>
          <w:szCs w:val="24"/>
          <w:u w:color="000000"/>
          <w:lang w:val="vi-VN"/>
        </w:rPr>
        <w:t>3. Sắc lệnh số 77 ngày 21.12.1945 của Chủ tịch Chính phủ lâm thời Việt Nam Dân chủ Cộng hòa quy định tổ chức chính quyền nhân dân thành phố, thị xã, khu phố.</w:t>
      </w:r>
    </w:p>
    <w:p w:rsidR="0025120F" w:rsidRPr="0025120F" w:rsidRDefault="0025120F" w:rsidP="0025120F">
      <w:pPr>
        <w:spacing w:after="0" w:line="240" w:lineRule="auto"/>
        <w:jc w:val="both"/>
        <w:rPr>
          <w:rFonts w:eastAsia="MS Mincho" w:cs="Times New Roman"/>
          <w:sz w:val="24"/>
          <w:szCs w:val="24"/>
          <w:u w:color="000000"/>
          <w:lang w:val="vi-VN"/>
        </w:rPr>
      </w:pPr>
      <w:r w:rsidRPr="0025120F">
        <w:rPr>
          <w:rFonts w:eastAsia="MS Mincho" w:cs="Times New Roman"/>
          <w:sz w:val="24"/>
          <w:szCs w:val="24"/>
          <w:u w:color="000000"/>
          <w:lang w:val="vi-VN"/>
        </w:rPr>
        <w:t>4. Sắc lệnh số 91/SL ngày 01.10.1947 của Chủ tịch Chính phủ Việt Nam Dân chủ Cộng hòa.</w:t>
      </w:r>
    </w:p>
    <w:p w:rsidR="0025120F" w:rsidRPr="0025120F" w:rsidRDefault="0025120F" w:rsidP="0025120F">
      <w:pPr>
        <w:spacing w:after="0" w:line="240" w:lineRule="auto"/>
        <w:jc w:val="both"/>
        <w:rPr>
          <w:rFonts w:eastAsia="MS Mincho" w:cs="Times New Roman"/>
          <w:sz w:val="24"/>
          <w:szCs w:val="24"/>
          <w:u w:color="000000"/>
          <w:lang w:val="vi-VN"/>
        </w:rPr>
      </w:pPr>
      <w:r w:rsidRPr="0025120F">
        <w:rPr>
          <w:rFonts w:eastAsia="MS Mincho" w:cs="Times New Roman"/>
          <w:sz w:val="24"/>
          <w:szCs w:val="24"/>
          <w:u w:color="000000"/>
          <w:lang w:val="vi-VN"/>
        </w:rPr>
        <w:t>5. Sắc lệnh số 149/SL ngày 29.3.1948 của Chủ tịch Chính phủ Việt Nam Dân chủ Cộng hòa.</w:t>
      </w:r>
      <w:r w:rsidRPr="0025120F">
        <w:rPr>
          <w:rFonts w:eastAsia="Times New Roman" w:cs="Times New Roman"/>
          <w:sz w:val="24"/>
          <w:szCs w:val="24"/>
          <w:u w:color="000000"/>
          <w:lang w:val="vi-VN"/>
        </w:rPr>
        <w:t xml:space="preserve">                                              </w:t>
      </w:r>
    </w:p>
    <w:p w:rsidR="00F3618D" w:rsidRDefault="00F3618D">
      <w:bookmarkStart w:id="2" w:name="_GoBack"/>
      <w:bookmarkEnd w:id="2"/>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0F"/>
    <w:rsid w:val="002133F0"/>
    <w:rsid w:val="0025120F"/>
    <w:rsid w:val="004B574E"/>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73F8D-64D9-4FFC-934E-F77D7480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2025-12-08T03:55:00Z</dcterms:created>
  <dcterms:modified xsi:type="dcterms:W3CDTF">2025-12-08T03:55:00Z</dcterms:modified>
</cp:coreProperties>
</file>